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746B01" w14:textId="77777777" w:rsidR="0023448E" w:rsidRDefault="0023448E" w:rsidP="0023448E">
      <w:pPr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eastAsia="SimSun" w:hAnsi="Times New Roman"/>
          <w:b/>
          <w:sz w:val="24"/>
          <w:szCs w:val="24"/>
        </w:rPr>
        <w:t xml:space="preserve">Fig. 4 Supplement: The </w:t>
      </w:r>
      <w:proofErr w:type="gramStart"/>
      <w:r>
        <w:rPr>
          <w:rFonts w:ascii="Times New Roman" w:eastAsia="SimSun" w:hAnsi="Times New Roman"/>
          <w:b/>
          <w:sz w:val="24"/>
          <w:szCs w:val="24"/>
        </w:rPr>
        <w:t>Box-plot</w:t>
      </w:r>
      <w:proofErr w:type="gramEnd"/>
      <w:r>
        <w:rPr>
          <w:rFonts w:ascii="Times New Roman" w:eastAsia="SimSun" w:hAnsi="Times New Roman"/>
          <w:b/>
          <w:sz w:val="24"/>
          <w:szCs w:val="24"/>
        </w:rPr>
        <w:t xml:space="preserve"> of higher relative abundance in genus level.</w:t>
      </w:r>
      <w:r w:rsidRPr="00D429FB">
        <w:rPr>
          <w:rFonts w:ascii="Times New Roman" w:eastAsia="SimSun" w:hAnsi="Times New Roman"/>
          <w:sz w:val="24"/>
          <w:szCs w:val="24"/>
        </w:rPr>
        <w:t xml:space="preserve"> </w:t>
      </w:r>
      <w:bookmarkStart w:id="0" w:name="OLE_LINK67"/>
      <w:bookmarkStart w:id="1" w:name="OLE_LINK68"/>
      <w:r w:rsidRPr="00494D9E">
        <w:rPr>
          <w:rFonts w:ascii="Times New Roman" w:eastAsia="SimSun" w:hAnsi="Times New Roman"/>
          <w:sz w:val="24"/>
          <w:szCs w:val="24"/>
        </w:rPr>
        <w:t>The ordinate represents the classification attribute, phylum</w:t>
      </w:r>
      <w:r>
        <w:rPr>
          <w:rFonts w:ascii="Times New Roman" w:eastAsia="SimSun" w:hAnsi="Times New Roman"/>
          <w:sz w:val="24"/>
          <w:szCs w:val="24"/>
        </w:rPr>
        <w:t>,</w:t>
      </w:r>
      <w:r w:rsidRPr="00494D9E">
        <w:rPr>
          <w:rFonts w:ascii="Times New Roman" w:eastAsia="SimSun" w:hAnsi="Times New Roman"/>
          <w:sz w:val="24"/>
          <w:szCs w:val="24"/>
        </w:rPr>
        <w:t xml:space="preserve"> and genera level</w:t>
      </w:r>
      <w:r>
        <w:rPr>
          <w:rFonts w:ascii="Times New Roman" w:eastAsia="SimSun" w:hAnsi="Times New Roman"/>
          <w:sz w:val="24"/>
          <w:szCs w:val="24"/>
        </w:rPr>
        <w:t>.</w:t>
      </w:r>
      <w:r w:rsidRPr="00494D9E">
        <w:rPr>
          <w:rFonts w:ascii="Times New Roman" w:eastAsia="SimSun" w:hAnsi="Times New Roman"/>
          <w:sz w:val="24"/>
          <w:szCs w:val="24"/>
        </w:rPr>
        <w:t xml:space="preserve"> </w:t>
      </w:r>
      <w:r>
        <w:rPr>
          <w:rFonts w:ascii="Times New Roman" w:eastAsia="SimSun" w:hAnsi="Times New Roman"/>
          <w:sz w:val="24"/>
          <w:szCs w:val="24"/>
        </w:rPr>
        <w:t>T</w:t>
      </w:r>
      <w:r w:rsidRPr="00494D9E">
        <w:rPr>
          <w:rFonts w:ascii="Times New Roman" w:eastAsia="SimSun" w:hAnsi="Times New Roman"/>
          <w:sz w:val="24"/>
          <w:szCs w:val="24"/>
        </w:rPr>
        <w:t>he abscissa represents the reading abundance</w:t>
      </w:r>
      <w:r w:rsidRPr="000D6F83">
        <w:rPr>
          <w:rFonts w:ascii="Times New Roman" w:eastAsia="SimSun" w:hAnsi="Times New Roman"/>
          <w:sz w:val="24"/>
          <w:szCs w:val="24"/>
        </w:rPr>
        <w:t xml:space="preserve">. </w:t>
      </w:r>
      <w:r w:rsidRPr="00F70E65">
        <w:rPr>
          <w:rFonts w:ascii="Times New Roman" w:hAnsi="Times New Roman"/>
          <w:sz w:val="24"/>
          <w:szCs w:val="24"/>
          <w:shd w:val="clear" w:color="auto" w:fill="FFFFFF"/>
        </w:rPr>
        <w:t>The box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ed </w:t>
      </w:r>
      <w:r w:rsidRPr="00F70E65">
        <w:rPr>
          <w:rFonts w:ascii="Times New Roman" w:hAnsi="Times New Roman"/>
          <w:sz w:val="24"/>
          <w:szCs w:val="24"/>
          <w:shd w:val="clear" w:color="auto" w:fill="FFFFFF"/>
        </w:rPr>
        <w:t xml:space="preserve">line near the left of the vertical axis represents the lower quartile, which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accounts for </w:t>
      </w:r>
      <w:r w:rsidRPr="00F70E65">
        <w:rPr>
          <w:rFonts w:ascii="Times New Roman" w:hAnsi="Times New Roman"/>
          <w:sz w:val="24"/>
          <w:szCs w:val="24"/>
        </w:rPr>
        <w:t xml:space="preserve">25% </w:t>
      </w:r>
      <w:r>
        <w:rPr>
          <w:rFonts w:ascii="Times New Roman" w:hAnsi="Times New Roman"/>
          <w:sz w:val="24"/>
          <w:szCs w:val="24"/>
        </w:rPr>
        <w:t xml:space="preserve">of </w:t>
      </w:r>
      <w:r w:rsidRPr="00F70E65">
        <w:rPr>
          <w:rFonts w:ascii="Times New Roman" w:hAnsi="Times New Roman"/>
          <w:sz w:val="24"/>
          <w:szCs w:val="24"/>
        </w:rPr>
        <w:t xml:space="preserve">all values in the sample arranged </w:t>
      </w:r>
      <w:r>
        <w:rPr>
          <w:rFonts w:ascii="Times New Roman" w:hAnsi="Times New Roman"/>
          <w:sz w:val="24"/>
          <w:szCs w:val="24"/>
        </w:rPr>
        <w:t>in an ascending order</w:t>
      </w:r>
      <w:r w:rsidRPr="00F70E65">
        <w:rPr>
          <w:rFonts w:ascii="Times New Roman" w:hAnsi="Times New Roman"/>
          <w:sz w:val="24"/>
          <w:szCs w:val="24"/>
        </w:rPr>
        <w:t xml:space="preserve">. The vertical line of the box is the median, which </w:t>
      </w:r>
      <w:r>
        <w:rPr>
          <w:rFonts w:ascii="Times New Roman" w:hAnsi="Times New Roman"/>
          <w:sz w:val="24"/>
          <w:szCs w:val="24"/>
        </w:rPr>
        <w:t>accounts for</w:t>
      </w:r>
      <w:r w:rsidRPr="00F70E65">
        <w:rPr>
          <w:rFonts w:ascii="Times New Roman" w:hAnsi="Times New Roman"/>
          <w:sz w:val="24"/>
          <w:szCs w:val="24"/>
        </w:rPr>
        <w:t xml:space="preserve"> 50% </w:t>
      </w:r>
      <w:r>
        <w:rPr>
          <w:rFonts w:ascii="Times New Roman" w:hAnsi="Times New Roman"/>
          <w:sz w:val="24"/>
          <w:szCs w:val="24"/>
        </w:rPr>
        <w:t xml:space="preserve">of </w:t>
      </w:r>
      <w:r w:rsidRPr="00F70E65">
        <w:rPr>
          <w:rFonts w:ascii="Times New Roman" w:hAnsi="Times New Roman"/>
          <w:sz w:val="24"/>
          <w:szCs w:val="24"/>
        </w:rPr>
        <w:t xml:space="preserve">all values in the sample arranged </w:t>
      </w:r>
      <w:r>
        <w:rPr>
          <w:rFonts w:ascii="Times New Roman" w:hAnsi="Times New Roman"/>
          <w:sz w:val="24"/>
          <w:szCs w:val="24"/>
        </w:rPr>
        <w:t>in an ascending order</w:t>
      </w:r>
      <w:r w:rsidRPr="00F70E65">
        <w:rPr>
          <w:rFonts w:ascii="Times New Roman" w:hAnsi="Times New Roman"/>
          <w:sz w:val="24"/>
          <w:szCs w:val="24"/>
        </w:rPr>
        <w:t>.</w:t>
      </w:r>
      <w:r w:rsidRPr="00F70E65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>The black square in picture shows the higher or lower relative abundance bacteria in E or NE OLP group.</w:t>
      </w:r>
      <w:bookmarkEnd w:id="0"/>
      <w:bookmarkEnd w:id="1"/>
    </w:p>
    <w:p w14:paraId="10BE69DF" w14:textId="77777777" w:rsidR="0023448E" w:rsidRDefault="0023448E">
      <w:bookmarkStart w:id="2" w:name="_GoBack"/>
      <w:bookmarkEnd w:id="2"/>
    </w:p>
    <w:sectPr w:rsidR="002344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48E"/>
    <w:rsid w:val="00234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D4ABB"/>
  <w15:chartTrackingRefBased/>
  <w15:docId w15:val="{2C51AFF6-FAFC-46F9-BF77-8DC06A309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448E"/>
    <w:pPr>
      <w:widowControl w:val="0"/>
      <w:spacing w:after="0" w:line="240" w:lineRule="auto"/>
      <w:jc w:val="both"/>
    </w:pPr>
    <w:rPr>
      <w:rFonts w:ascii="DengXian" w:eastAsia="DengXian" w:hAnsi="DengXian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2019-11-06T19:57:00Z</dcterms:created>
  <dcterms:modified xsi:type="dcterms:W3CDTF">2019-11-06T19:57:00Z</dcterms:modified>
</cp:coreProperties>
</file>